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332"/>
        <w:gridCol w:w="3294"/>
      </w:tblGrid>
      <w:tr w:rsidR="00646E45" w:rsidTr="00646E45">
        <w:trPr>
          <w:tblCellSpacing w:w="20" w:type="dxa"/>
        </w:trPr>
        <w:tc>
          <w:tcPr>
            <w:tcW w:w="2272" w:type="dxa"/>
            <w:shd w:val="clear" w:color="auto" w:fill="auto"/>
          </w:tcPr>
          <w:p w:rsidR="00646E45" w:rsidRPr="00066ACF" w:rsidRDefault="00646E45" w:rsidP="000202AE">
            <w:pPr>
              <w:spacing w:after="0" w:line="240" w:lineRule="auto"/>
              <w:rPr>
                <w:sz w:val="24"/>
                <w:szCs w:val="24"/>
              </w:rPr>
            </w:pPr>
            <w:r w:rsidRPr="00066ACF">
              <w:rPr>
                <w:rFonts w:ascii="Century Gothic" w:hAnsi="Century Gothic"/>
              </w:rPr>
              <w:t xml:space="preserve"> </w:t>
            </w:r>
            <w:r w:rsidRPr="00066ACF">
              <w:rPr>
                <w:sz w:val="24"/>
                <w:szCs w:val="24"/>
              </w:rPr>
              <w:t>Publisher:</w:t>
            </w:r>
          </w:p>
        </w:tc>
        <w:tc>
          <w:tcPr>
            <w:tcW w:w="3234" w:type="dxa"/>
          </w:tcPr>
          <w:p w:rsidR="00646E45" w:rsidRPr="00066ACF" w:rsidRDefault="00112735" w:rsidP="000202AE">
            <w:pPr>
              <w:spacing w:after="0" w:line="240" w:lineRule="auto"/>
              <w:rPr>
                <w:sz w:val="24"/>
                <w:szCs w:val="24"/>
              </w:rPr>
            </w:pPr>
            <w:r>
              <w:rPr>
                <w:rFonts w:ascii="Arial" w:hAnsi="Arial" w:cs="Arial"/>
                <w:color w:val="333333"/>
                <w:sz w:val="20"/>
                <w:szCs w:val="20"/>
                <w:shd w:val="clear" w:color="auto" w:fill="FFFFFF"/>
              </w:rPr>
              <w:t>Knopf</w:t>
            </w:r>
          </w:p>
        </w:tc>
      </w:tr>
      <w:tr w:rsidR="00646E45" w:rsidTr="00646E45">
        <w:trPr>
          <w:tblCellSpacing w:w="20" w:type="dxa"/>
        </w:trPr>
        <w:tc>
          <w:tcPr>
            <w:tcW w:w="2272" w:type="dxa"/>
            <w:shd w:val="clear" w:color="auto" w:fill="auto"/>
          </w:tcPr>
          <w:p w:rsidR="00646E45" w:rsidRPr="00066ACF" w:rsidRDefault="00646E45" w:rsidP="000202AE">
            <w:pPr>
              <w:spacing w:after="0" w:line="240" w:lineRule="auto"/>
              <w:rPr>
                <w:sz w:val="24"/>
                <w:szCs w:val="24"/>
              </w:rPr>
            </w:pPr>
            <w:r w:rsidRPr="00066ACF">
              <w:rPr>
                <w:sz w:val="24"/>
                <w:szCs w:val="24"/>
              </w:rPr>
              <w:t>Date of Publication:</w:t>
            </w:r>
          </w:p>
        </w:tc>
        <w:tc>
          <w:tcPr>
            <w:tcW w:w="3234" w:type="dxa"/>
          </w:tcPr>
          <w:p w:rsidR="00646E45" w:rsidRPr="00066ACF" w:rsidRDefault="00112735" w:rsidP="000202AE">
            <w:pPr>
              <w:spacing w:after="0" w:line="240" w:lineRule="auto"/>
              <w:rPr>
                <w:sz w:val="24"/>
                <w:szCs w:val="24"/>
              </w:rPr>
            </w:pPr>
            <w:r>
              <w:rPr>
                <w:rFonts w:ascii="Arial" w:hAnsi="Arial" w:cs="Arial"/>
                <w:color w:val="333333"/>
                <w:sz w:val="20"/>
                <w:szCs w:val="20"/>
                <w:shd w:val="clear" w:color="auto" w:fill="FFFFFF"/>
              </w:rPr>
              <w:t>March 12, 2013</w:t>
            </w:r>
          </w:p>
        </w:tc>
      </w:tr>
      <w:tr w:rsidR="00646E45" w:rsidTr="00646E45">
        <w:trPr>
          <w:tblCellSpacing w:w="20" w:type="dxa"/>
        </w:trPr>
        <w:tc>
          <w:tcPr>
            <w:tcW w:w="2272" w:type="dxa"/>
            <w:shd w:val="clear" w:color="auto" w:fill="auto"/>
          </w:tcPr>
          <w:p w:rsidR="00646E45" w:rsidRPr="00066ACF" w:rsidRDefault="00646E45" w:rsidP="000202AE">
            <w:pPr>
              <w:spacing w:after="0" w:line="240" w:lineRule="auto"/>
              <w:rPr>
                <w:sz w:val="24"/>
                <w:szCs w:val="24"/>
              </w:rPr>
            </w:pPr>
            <w:r w:rsidRPr="00066ACF">
              <w:rPr>
                <w:sz w:val="24"/>
                <w:szCs w:val="24"/>
              </w:rPr>
              <w:t>Number of pages:</w:t>
            </w:r>
          </w:p>
        </w:tc>
        <w:tc>
          <w:tcPr>
            <w:tcW w:w="3234" w:type="dxa"/>
          </w:tcPr>
          <w:p w:rsidR="00646E45" w:rsidRPr="00066ACF" w:rsidRDefault="00112735" w:rsidP="000202AE">
            <w:pPr>
              <w:spacing w:after="0" w:line="240" w:lineRule="auto"/>
              <w:rPr>
                <w:sz w:val="24"/>
                <w:szCs w:val="24"/>
              </w:rPr>
            </w:pPr>
            <w:r>
              <w:rPr>
                <w:sz w:val="24"/>
                <w:szCs w:val="24"/>
              </w:rPr>
              <w:t>240</w:t>
            </w:r>
            <w:bookmarkStart w:id="0" w:name="_GoBack"/>
            <w:bookmarkEnd w:id="0"/>
          </w:p>
        </w:tc>
      </w:tr>
      <w:tr w:rsidR="00646E45" w:rsidTr="00646E45">
        <w:trPr>
          <w:tblCellSpacing w:w="20" w:type="dxa"/>
        </w:trPr>
        <w:tc>
          <w:tcPr>
            <w:tcW w:w="2272" w:type="dxa"/>
            <w:shd w:val="clear" w:color="auto" w:fill="auto"/>
          </w:tcPr>
          <w:p w:rsidR="00646E45" w:rsidRPr="00066ACF" w:rsidRDefault="00646E45" w:rsidP="000202AE">
            <w:pPr>
              <w:spacing w:after="0" w:line="240" w:lineRule="auto"/>
              <w:rPr>
                <w:sz w:val="24"/>
                <w:szCs w:val="24"/>
              </w:rPr>
            </w:pPr>
            <w:r w:rsidRPr="00066ACF">
              <w:rPr>
                <w:sz w:val="24"/>
                <w:szCs w:val="24"/>
              </w:rPr>
              <w:t>Book Club rating:</w:t>
            </w:r>
          </w:p>
        </w:tc>
        <w:tc>
          <w:tcPr>
            <w:tcW w:w="3234" w:type="dxa"/>
          </w:tcPr>
          <w:p w:rsidR="00646E45" w:rsidRPr="00066ACF" w:rsidRDefault="00E95CAA" w:rsidP="000202AE">
            <w:pPr>
              <w:spacing w:after="0" w:line="240" w:lineRule="auto"/>
              <w:rPr>
                <w:sz w:val="24"/>
                <w:szCs w:val="24"/>
              </w:rPr>
            </w:pPr>
            <w:r>
              <w:rPr>
                <w:sz w:val="24"/>
                <w:szCs w:val="24"/>
              </w:rPr>
              <w:t>3.83 out of 5</w:t>
            </w:r>
          </w:p>
        </w:tc>
      </w:tr>
      <w:tr w:rsidR="00646E45" w:rsidTr="00646E45">
        <w:trPr>
          <w:tblCellSpacing w:w="20" w:type="dxa"/>
        </w:trPr>
        <w:tc>
          <w:tcPr>
            <w:tcW w:w="2272" w:type="dxa"/>
            <w:shd w:val="clear" w:color="auto" w:fill="auto"/>
          </w:tcPr>
          <w:p w:rsidR="00646E45" w:rsidRPr="00066ACF" w:rsidRDefault="00646E45" w:rsidP="000202AE">
            <w:pPr>
              <w:spacing w:after="0" w:line="240" w:lineRule="auto"/>
              <w:rPr>
                <w:sz w:val="24"/>
                <w:szCs w:val="24"/>
              </w:rPr>
            </w:pPr>
            <w:r w:rsidRPr="00066ACF">
              <w:rPr>
                <w:sz w:val="24"/>
                <w:szCs w:val="24"/>
              </w:rPr>
              <w:t>Reviewed by:</w:t>
            </w:r>
          </w:p>
        </w:tc>
        <w:tc>
          <w:tcPr>
            <w:tcW w:w="3234" w:type="dxa"/>
          </w:tcPr>
          <w:p w:rsidR="00646E45" w:rsidRPr="00066ACF" w:rsidRDefault="00646E45" w:rsidP="000202AE">
            <w:pPr>
              <w:spacing w:after="0" w:line="240" w:lineRule="auto"/>
              <w:rPr>
                <w:sz w:val="24"/>
                <w:szCs w:val="24"/>
              </w:rPr>
            </w:pPr>
            <w:r>
              <w:rPr>
                <w:sz w:val="24"/>
                <w:szCs w:val="24"/>
              </w:rPr>
              <w:t>Colleen Zettler</w:t>
            </w:r>
          </w:p>
        </w:tc>
      </w:tr>
    </w:tbl>
    <w:p w:rsidR="0084414F" w:rsidRPr="0096704C" w:rsidRDefault="0096704C" w:rsidP="000202AE">
      <w:pPr>
        <w:spacing w:before="120"/>
        <w:rPr>
          <w:sz w:val="24"/>
          <w:szCs w:val="24"/>
        </w:rPr>
      </w:pPr>
      <w:r>
        <w:rPr>
          <w:b/>
          <w:i/>
          <w:sz w:val="24"/>
          <w:szCs w:val="24"/>
        </w:rPr>
        <w:t xml:space="preserve">Plot </w:t>
      </w:r>
      <w:r w:rsidR="00647245">
        <w:rPr>
          <w:b/>
          <w:i/>
          <w:sz w:val="24"/>
          <w:szCs w:val="24"/>
        </w:rPr>
        <w:t>Summary:</w:t>
      </w:r>
    </w:p>
    <w:p w:rsidR="000F6CE2" w:rsidRDefault="00112735">
      <w:r>
        <w:rPr>
          <w:noProof/>
        </w:rPr>
        <w:drawing>
          <wp:inline distT="0" distB="0" distL="0" distR="0">
            <wp:extent cx="1106542" cy="1781175"/>
            <wp:effectExtent l="0" t="0" r="0" b="0"/>
            <wp:docPr id="1" name="Picture 1" descr="https://images-na.ssl-images-amazon.com/images/I/41XGZDGFaLL._SX30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41XGZDGFaLL._SX308_BO1,204,203,2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0818" cy="1788059"/>
                    </a:xfrm>
                    <a:prstGeom prst="rect">
                      <a:avLst/>
                    </a:prstGeom>
                    <a:noFill/>
                    <a:ln>
                      <a:noFill/>
                    </a:ln>
                  </pic:spPr>
                </pic:pic>
              </a:graphicData>
            </a:graphic>
          </wp:inline>
        </w:drawing>
      </w:r>
    </w:p>
    <w:p w:rsidR="00112735" w:rsidRPr="00794A35" w:rsidRDefault="00112735" w:rsidP="00112735">
      <w:pPr>
        <w:spacing w:after="240" w:line="240" w:lineRule="auto"/>
        <w:rPr>
          <w:rFonts w:asciiTheme="minorHAnsi" w:hAnsiTheme="minorHAnsi" w:cs="Arial"/>
          <w:color w:val="333333"/>
          <w:shd w:val="clear" w:color="auto" w:fill="FFFFFF"/>
        </w:rPr>
      </w:pPr>
      <w:r w:rsidRPr="00794A35">
        <w:rPr>
          <w:rFonts w:asciiTheme="minorHAnsi" w:hAnsiTheme="minorHAnsi" w:cs="Arial"/>
          <w:color w:val="333333"/>
          <w:shd w:val="clear" w:color="auto" w:fill="FFFFFF"/>
        </w:rPr>
        <w:t>In </w:t>
      </w:r>
      <w:r w:rsidRPr="00794A35">
        <w:rPr>
          <w:rFonts w:asciiTheme="minorHAnsi" w:hAnsiTheme="minorHAnsi" w:cs="Arial"/>
          <w:i/>
          <w:iCs/>
          <w:color w:val="333333"/>
          <w:shd w:val="clear" w:color="auto" w:fill="FFFFFF"/>
        </w:rPr>
        <w:t>Lean In,</w:t>
      </w:r>
      <w:r w:rsidRPr="00794A35">
        <w:rPr>
          <w:rFonts w:asciiTheme="minorHAnsi" w:hAnsiTheme="minorHAnsi" w:cs="Arial"/>
          <w:color w:val="333333"/>
          <w:shd w:val="clear" w:color="auto" w:fill="FFFFFF"/>
        </w:rPr>
        <w:t> Sheryl Sandberg reignited the conversation around women in the workplace.</w:t>
      </w:r>
      <w:r w:rsidRPr="00794A35">
        <w:rPr>
          <w:rFonts w:asciiTheme="minorHAnsi" w:hAnsiTheme="minorHAnsi" w:cs="Arial"/>
          <w:color w:val="333333"/>
        </w:rPr>
        <w:br/>
      </w:r>
      <w:r w:rsidRPr="00794A35">
        <w:rPr>
          <w:rFonts w:asciiTheme="minorHAnsi" w:hAnsiTheme="minorHAnsi" w:cs="Arial"/>
          <w:color w:val="333333"/>
          <w:shd w:val="clear" w:color="auto" w:fill="FFFFFF"/>
        </w:rPr>
        <w:t>Sandberg is chief operating officer of Facebook and coauthor of </w:t>
      </w:r>
      <w:r w:rsidRPr="00794A35">
        <w:rPr>
          <w:rFonts w:asciiTheme="minorHAnsi" w:hAnsiTheme="minorHAnsi" w:cs="Arial"/>
          <w:i/>
          <w:iCs/>
          <w:color w:val="333333"/>
          <w:shd w:val="clear" w:color="auto" w:fill="FFFFFF"/>
        </w:rPr>
        <w:t>Option B </w:t>
      </w:r>
      <w:r w:rsidRPr="00794A35">
        <w:rPr>
          <w:rFonts w:asciiTheme="minorHAnsi" w:hAnsiTheme="minorHAnsi" w:cs="Arial"/>
          <w:color w:val="333333"/>
          <w:shd w:val="clear" w:color="auto" w:fill="FFFFFF"/>
        </w:rPr>
        <w:t>with Adam Grant. In 2010, she gave an electrifying TED talk in which she described how women unintentionally hold themselves back in their careers. Her talk, which has been viewed more than six million times, encouraged women to “sit at the table,” seek challenges, take risks, and pursue their goals with gusto.</w:t>
      </w:r>
    </w:p>
    <w:p w:rsidR="00112735" w:rsidRPr="00794A35" w:rsidRDefault="00112735" w:rsidP="00112735">
      <w:pPr>
        <w:spacing w:after="240" w:line="240" w:lineRule="auto"/>
        <w:rPr>
          <w:rFonts w:asciiTheme="minorHAnsi" w:hAnsiTheme="minorHAnsi" w:cs="Arial"/>
          <w:color w:val="333333"/>
          <w:shd w:val="clear" w:color="auto" w:fill="FFFFFF"/>
        </w:rPr>
      </w:pPr>
      <w:r w:rsidRPr="00794A35">
        <w:rPr>
          <w:rFonts w:asciiTheme="minorHAnsi" w:hAnsiTheme="minorHAnsi" w:cs="Arial"/>
          <w:i/>
          <w:iCs/>
          <w:color w:val="333333"/>
          <w:shd w:val="clear" w:color="auto" w:fill="FFFFFF"/>
        </w:rPr>
        <w:t>Lean In</w:t>
      </w:r>
      <w:r w:rsidRPr="00794A35">
        <w:rPr>
          <w:rFonts w:asciiTheme="minorHAnsi" w:hAnsiTheme="minorHAnsi" w:cs="Arial"/>
          <w:color w:val="333333"/>
          <w:shd w:val="clear" w:color="auto" w:fill="FFFFFF"/>
        </w:rPr>
        <w:t> continues that conversation</w:t>
      </w:r>
      <w:r w:rsidRPr="00794A35">
        <w:rPr>
          <w:rFonts w:asciiTheme="minorHAnsi" w:hAnsiTheme="minorHAnsi" w:cs="Arial"/>
          <w:i/>
          <w:iCs/>
          <w:color w:val="333333"/>
          <w:shd w:val="clear" w:color="auto" w:fill="FFFFFF"/>
        </w:rPr>
        <w:t>, </w:t>
      </w:r>
      <w:r w:rsidRPr="00794A35">
        <w:rPr>
          <w:rFonts w:asciiTheme="minorHAnsi" w:hAnsiTheme="minorHAnsi" w:cs="Arial"/>
          <w:color w:val="333333"/>
          <w:shd w:val="clear" w:color="auto" w:fill="FFFFFF"/>
        </w:rPr>
        <w:t>combining personal anecdotes, hard data, and compelling research to change the conversation from what women can’t do to what they can. Sandberg provides practical advice on negotiation techniques, mentorship, and building a satisfying career. She describes specific steps women can take to combine professional achievement with personal fulfillment, and demonstrates how men can benefit by supporting women both in the workplace and at home.</w:t>
      </w:r>
    </w:p>
    <w:p w:rsidR="00440C78" w:rsidRPr="00794A35" w:rsidRDefault="00112735" w:rsidP="00112735">
      <w:pPr>
        <w:spacing w:after="240" w:line="240" w:lineRule="auto"/>
        <w:rPr>
          <w:rFonts w:asciiTheme="minorHAnsi" w:hAnsiTheme="minorHAnsi"/>
        </w:rPr>
      </w:pPr>
      <w:r w:rsidRPr="00794A35">
        <w:rPr>
          <w:rFonts w:asciiTheme="minorHAnsi" w:hAnsiTheme="minorHAnsi" w:cs="Arial"/>
          <w:color w:val="333333"/>
          <w:shd w:val="clear" w:color="auto" w:fill="FFFFFF"/>
        </w:rPr>
        <w:t>Written with humor and wisdom</w:t>
      </w:r>
      <w:r w:rsidRPr="00794A35">
        <w:rPr>
          <w:rFonts w:asciiTheme="minorHAnsi" w:hAnsiTheme="minorHAnsi" w:cs="Arial"/>
          <w:i/>
          <w:iCs/>
          <w:color w:val="333333"/>
          <w:shd w:val="clear" w:color="auto" w:fill="FFFFFF"/>
        </w:rPr>
        <w:t>,</w:t>
      </w:r>
      <w:r w:rsidRPr="00794A35">
        <w:rPr>
          <w:rFonts w:asciiTheme="minorHAnsi" w:hAnsiTheme="minorHAnsi" w:cs="Arial"/>
          <w:color w:val="333333"/>
          <w:shd w:val="clear" w:color="auto" w:fill="FFFFFF"/>
        </w:rPr>
        <w:t> </w:t>
      </w:r>
      <w:r w:rsidRPr="00794A35">
        <w:rPr>
          <w:rFonts w:asciiTheme="minorHAnsi" w:hAnsiTheme="minorHAnsi" w:cs="Arial"/>
          <w:i/>
          <w:iCs/>
          <w:color w:val="333333"/>
          <w:shd w:val="clear" w:color="auto" w:fill="FFFFFF"/>
        </w:rPr>
        <w:t>Lean In</w:t>
      </w:r>
      <w:r w:rsidRPr="00794A35">
        <w:rPr>
          <w:rFonts w:asciiTheme="minorHAnsi" w:hAnsiTheme="minorHAnsi" w:cs="Arial"/>
          <w:color w:val="333333"/>
          <w:shd w:val="clear" w:color="auto" w:fill="FFFFFF"/>
        </w:rPr>
        <w:t> is a revelatory, inspiring call to action and a blueprint for individual growth that will empower women around the world to achieve their full potential.</w:t>
      </w:r>
    </w:p>
    <w:p w:rsidR="00112735" w:rsidRDefault="00112735">
      <w:pPr>
        <w:spacing w:after="0" w:line="240" w:lineRule="auto"/>
        <w:rPr>
          <w:b/>
          <w:i/>
          <w:sz w:val="24"/>
          <w:szCs w:val="24"/>
        </w:rPr>
      </w:pPr>
      <w:r>
        <w:rPr>
          <w:b/>
          <w:i/>
          <w:sz w:val="24"/>
          <w:szCs w:val="24"/>
        </w:rPr>
        <w:br w:type="page"/>
      </w:r>
    </w:p>
    <w:p w:rsidR="0096704C" w:rsidRPr="0096704C" w:rsidRDefault="00112735" w:rsidP="0096704C">
      <w:pPr>
        <w:rPr>
          <w:sz w:val="24"/>
          <w:szCs w:val="24"/>
        </w:rPr>
      </w:pPr>
      <w:r>
        <w:rPr>
          <w:b/>
          <w:i/>
          <w:sz w:val="24"/>
          <w:szCs w:val="24"/>
        </w:rPr>
        <w:lastRenderedPageBreak/>
        <w:t>Book Club Meeting Discussion:</w:t>
      </w:r>
    </w:p>
    <w:p w:rsidR="0096704C" w:rsidRDefault="00112735">
      <w:r>
        <w:t xml:space="preserve">This book kicked off the inaugural meeting of the PMINEO Women in Project Management Book Club. </w:t>
      </w:r>
      <w:r w:rsidR="00794A35">
        <w:br/>
      </w:r>
      <w:r>
        <w:t xml:space="preserve">6 women came together to discuss Sandberg’s bestselling book and everybody found the book informative and useful in </w:t>
      </w:r>
      <w:r w:rsidR="00794A35">
        <w:t xml:space="preserve">defining unconscious patterns that could be barriers to moving ahead in the corporate world.  </w:t>
      </w:r>
      <w:r w:rsidR="00794A35" w:rsidRPr="00794A35">
        <w:rPr>
          <w:rFonts w:asciiTheme="minorHAnsi" w:hAnsiTheme="minorHAnsi" w:cs="Arial"/>
          <w:color w:val="333333"/>
          <w:shd w:val="clear" w:color="auto" w:fill="FFFFFF"/>
        </w:rPr>
        <w:t xml:space="preserve">Every single undoing of a woman’s career is examined thoughtfully </w:t>
      </w:r>
      <w:r w:rsidR="00794A35">
        <w:rPr>
          <w:rFonts w:asciiTheme="minorHAnsi" w:hAnsiTheme="minorHAnsi" w:cs="Arial"/>
          <w:color w:val="333333"/>
          <w:shd w:val="clear" w:color="auto" w:fill="FFFFFF"/>
        </w:rPr>
        <w:t xml:space="preserve">in the book and </w:t>
      </w:r>
      <w:r w:rsidR="009F4652">
        <w:rPr>
          <w:rFonts w:asciiTheme="minorHAnsi" w:hAnsiTheme="minorHAnsi" w:cs="Arial"/>
          <w:color w:val="333333"/>
          <w:shd w:val="clear" w:color="auto" w:fill="FFFFFF"/>
        </w:rPr>
        <w:t>Sandberg</w:t>
      </w:r>
      <w:r w:rsidR="00794A35">
        <w:rPr>
          <w:rFonts w:asciiTheme="minorHAnsi" w:hAnsiTheme="minorHAnsi" w:cs="Arial"/>
          <w:color w:val="333333"/>
          <w:shd w:val="clear" w:color="auto" w:fill="FFFFFF"/>
        </w:rPr>
        <w:t xml:space="preserve"> provides r</w:t>
      </w:r>
      <w:r w:rsidR="00794A35" w:rsidRPr="00794A35">
        <w:rPr>
          <w:rFonts w:asciiTheme="minorHAnsi" w:hAnsiTheme="minorHAnsi" w:cs="Arial"/>
          <w:color w:val="333333"/>
          <w:shd w:val="clear" w:color="auto" w:fill="FFFFFF"/>
        </w:rPr>
        <w:t>ecommended remedies.</w:t>
      </w:r>
      <w:r w:rsidR="00794A35">
        <w:rPr>
          <w:rFonts w:asciiTheme="minorHAnsi" w:hAnsiTheme="minorHAnsi" w:cs="Arial"/>
          <w:color w:val="333333"/>
          <w:shd w:val="clear" w:color="auto" w:fill="FFFFFF"/>
        </w:rPr>
        <w:t xml:space="preserve">  </w:t>
      </w:r>
      <w:r w:rsidR="00794A35">
        <w:t>The discussion focused on framing office culture and implicit biases each of us had experienced and sharing our individual stories which facilitated a lively discussion that was enlightening and through provoking.</w:t>
      </w:r>
    </w:p>
    <w:p w:rsidR="0096704C" w:rsidRPr="0096704C" w:rsidRDefault="009F4652" w:rsidP="0096704C">
      <w:pPr>
        <w:rPr>
          <w:sz w:val="24"/>
          <w:szCs w:val="24"/>
        </w:rPr>
      </w:pPr>
      <w:r>
        <w:rPr>
          <w:b/>
          <w:i/>
          <w:sz w:val="24"/>
          <w:szCs w:val="24"/>
        </w:rPr>
        <w:t>Personal Comments:</w:t>
      </w:r>
    </w:p>
    <w:p w:rsidR="0096704C" w:rsidRDefault="00794A35">
      <w:r>
        <w:t xml:space="preserve">I’d been meaning to read this book since it came out and never found the time. I was thrilled to have the ‘excuse’ to read it and wasn’t disappointed. There’s a reason it’s a best seller. I found the book </w:t>
      </w:r>
      <w:r w:rsidR="009F4652">
        <w:t xml:space="preserve">helpful in working through office culture issues I didn’t even realize I was having. </w:t>
      </w:r>
    </w:p>
    <w:sectPr w:rsidR="0096704C" w:rsidSect="00C028D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B47" w:rsidRDefault="00014B47" w:rsidP="003122F2">
      <w:pPr>
        <w:spacing w:after="0" w:line="240" w:lineRule="auto"/>
      </w:pPr>
      <w:r>
        <w:separator/>
      </w:r>
    </w:p>
  </w:endnote>
  <w:endnote w:type="continuationSeparator" w:id="0">
    <w:p w:rsidR="00014B47" w:rsidRDefault="00014B47" w:rsidP="0031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08A" w:rsidRPr="000202AE" w:rsidRDefault="000202AE" w:rsidP="000202AE">
    <w:pPr>
      <w:pStyle w:val="Footer"/>
      <w:jc w:val="right"/>
      <w:rPr>
        <w:i/>
      </w:rPr>
    </w:pPr>
    <w:r w:rsidRPr="000202AE">
      <w:rPr>
        <w:i/>
      </w:rPr>
      <w:t xml:space="preserve">Updated: </w:t>
    </w:r>
    <w:r w:rsidRPr="000202AE">
      <w:rPr>
        <w:i/>
      </w:rPr>
      <w:fldChar w:fldCharType="begin"/>
    </w:r>
    <w:r w:rsidRPr="000202AE">
      <w:rPr>
        <w:i/>
      </w:rPr>
      <w:instrText xml:space="preserve"> DATE   \* MERGEFORMAT </w:instrText>
    </w:r>
    <w:r w:rsidRPr="000202AE">
      <w:rPr>
        <w:i/>
      </w:rPr>
      <w:fldChar w:fldCharType="separate"/>
    </w:r>
    <w:r w:rsidR="00E95CAA">
      <w:rPr>
        <w:i/>
        <w:noProof/>
      </w:rPr>
      <w:t>2/6/2020</w:t>
    </w:r>
    <w:r w:rsidRPr="000202AE">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B47" w:rsidRDefault="00014B47" w:rsidP="003122F2">
      <w:pPr>
        <w:spacing w:after="0" w:line="240" w:lineRule="auto"/>
      </w:pPr>
      <w:r>
        <w:separator/>
      </w:r>
    </w:p>
  </w:footnote>
  <w:footnote w:type="continuationSeparator" w:id="0">
    <w:p w:rsidR="00014B47" w:rsidRDefault="00014B47" w:rsidP="003122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2F2" w:rsidRDefault="003122F2">
    <w:pPr>
      <w:pStyle w:val="Heade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4918"/>
      <w:gridCol w:w="4753"/>
    </w:tblGrid>
    <w:tr w:rsidR="003122F2" w:rsidTr="00B2708A">
      <w:trPr>
        <w:tblCellSpacing w:w="20" w:type="dxa"/>
      </w:trPr>
      <w:tc>
        <w:tcPr>
          <w:tcW w:w="4858" w:type="dxa"/>
          <w:tcBorders>
            <w:top w:val="nil"/>
            <w:left w:val="nil"/>
            <w:bottom w:val="nil"/>
            <w:right w:val="nil"/>
          </w:tcBorders>
          <w:shd w:val="clear" w:color="auto" w:fill="auto"/>
        </w:tcPr>
        <w:p w:rsidR="003122F2" w:rsidRDefault="00B2708A">
          <w:pPr>
            <w:pStyle w:val="Header"/>
          </w:pPr>
          <w:r>
            <w:rPr>
              <w:noProof/>
            </w:rPr>
            <w:drawing>
              <wp:inline distT="0" distB="0" distL="0" distR="0">
                <wp:extent cx="2981325" cy="1000125"/>
                <wp:effectExtent l="0" t="0" r="9525" b="9525"/>
                <wp:docPr id="50" name="Picture 50" descr="C:\Users\Omar\AppData\Local\Microsoft\Windows\INetCache\Content.Word\pmi_chapter_northeast_ohi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Omar\AppData\Local\Microsoft\Windows\INetCache\Content.Word\pmi_chapter_northeast_ohio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1000125"/>
                        </a:xfrm>
                        <a:prstGeom prst="rect">
                          <a:avLst/>
                        </a:prstGeom>
                        <a:noFill/>
                        <a:ln>
                          <a:noFill/>
                        </a:ln>
                      </pic:spPr>
                    </pic:pic>
                  </a:graphicData>
                </a:graphic>
              </wp:inline>
            </w:drawing>
          </w:r>
        </w:p>
      </w:tc>
      <w:tc>
        <w:tcPr>
          <w:tcW w:w="4693" w:type="dxa"/>
          <w:shd w:val="clear" w:color="auto" w:fill="auto"/>
        </w:tcPr>
        <w:p w:rsidR="003122F2" w:rsidRPr="00066ACF" w:rsidRDefault="003122F2" w:rsidP="00066ACF">
          <w:pPr>
            <w:spacing w:after="0"/>
            <w:jc w:val="center"/>
            <w:rPr>
              <w:rFonts w:ascii="Century Gothic" w:hAnsi="Century Gothic"/>
            </w:rPr>
          </w:pPr>
          <w:r w:rsidRPr="00066ACF">
            <w:rPr>
              <w:rFonts w:ascii="Century Gothic" w:hAnsi="Century Gothic"/>
            </w:rPr>
            <w:t>“</w:t>
          </w:r>
          <w:r w:rsidR="00112735">
            <w:rPr>
              <w:rFonts w:ascii="Century Gothic" w:hAnsi="Century Gothic"/>
            </w:rPr>
            <w:t>”Lean In</w:t>
          </w:r>
          <w:r w:rsidRPr="00066ACF">
            <w:rPr>
              <w:rFonts w:ascii="Century Gothic" w:hAnsi="Century Gothic"/>
            </w:rPr>
            <w:t xml:space="preserve">” </w:t>
          </w:r>
        </w:p>
        <w:p w:rsidR="00112735" w:rsidRDefault="00112735" w:rsidP="00112735">
          <w:pPr>
            <w:spacing w:after="0"/>
            <w:jc w:val="center"/>
            <w:rPr>
              <w:rFonts w:ascii="Century Gothic" w:hAnsi="Century Gothic"/>
            </w:rPr>
          </w:pPr>
          <w:r>
            <w:rPr>
              <w:rFonts w:ascii="Century Gothic" w:hAnsi="Century Gothic"/>
            </w:rPr>
            <w:t>by Sheryl Sandberg</w:t>
          </w:r>
        </w:p>
        <w:p w:rsidR="000202AE" w:rsidRDefault="00112735" w:rsidP="00066ACF">
          <w:pPr>
            <w:spacing w:after="0"/>
            <w:jc w:val="center"/>
            <w:rPr>
              <w:rFonts w:ascii="Century Gothic" w:hAnsi="Century Gothic"/>
            </w:rPr>
          </w:pPr>
          <w:r>
            <w:rPr>
              <w:rFonts w:ascii="Century Gothic" w:hAnsi="Century Gothic"/>
            </w:rPr>
            <w:t>Discussion Held 11/5/19</w:t>
          </w:r>
        </w:p>
        <w:p w:rsidR="000202AE" w:rsidRPr="000202AE" w:rsidRDefault="000202AE" w:rsidP="00066ACF">
          <w:pPr>
            <w:spacing w:after="0"/>
            <w:jc w:val="center"/>
            <w:rPr>
              <w:rFonts w:ascii="Century Gothic" w:hAnsi="Century Gothic"/>
              <w:b/>
              <w:i/>
              <w:color w:val="7030A0"/>
              <w:sz w:val="28"/>
              <w:szCs w:val="28"/>
            </w:rPr>
          </w:pPr>
          <w:r w:rsidRPr="000202AE">
            <w:rPr>
              <w:rFonts w:ascii="Century Gothic" w:hAnsi="Century Gothic"/>
              <w:b/>
              <w:i/>
              <w:color w:val="7030A0"/>
              <w:sz w:val="28"/>
              <w:szCs w:val="28"/>
            </w:rPr>
            <w:t xml:space="preserve">Women in Project Management </w:t>
          </w:r>
        </w:p>
        <w:p w:rsidR="000202AE" w:rsidRPr="00066ACF" w:rsidRDefault="000202AE" w:rsidP="00066ACF">
          <w:pPr>
            <w:spacing w:after="0"/>
            <w:jc w:val="center"/>
            <w:rPr>
              <w:rFonts w:ascii="Century Gothic" w:hAnsi="Century Gothic"/>
            </w:rPr>
          </w:pPr>
          <w:r w:rsidRPr="000202AE">
            <w:rPr>
              <w:rFonts w:ascii="Century Gothic" w:hAnsi="Century Gothic"/>
              <w:b/>
              <w:i/>
              <w:color w:val="7030A0"/>
              <w:sz w:val="28"/>
              <w:szCs w:val="28"/>
            </w:rPr>
            <w:t>Book Club</w:t>
          </w:r>
        </w:p>
      </w:tc>
    </w:tr>
  </w:tbl>
  <w:p w:rsidR="003122F2" w:rsidRDefault="003122F2">
    <w:pPr>
      <w:pStyle w:val="Header"/>
    </w:pPr>
  </w:p>
  <w:p w:rsidR="003122F2" w:rsidRDefault="003122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53"/>
    <w:rsid w:val="00014B47"/>
    <w:rsid w:val="000202AE"/>
    <w:rsid w:val="00066ACF"/>
    <w:rsid w:val="000F6CE2"/>
    <w:rsid w:val="00112735"/>
    <w:rsid w:val="0027541F"/>
    <w:rsid w:val="00302F32"/>
    <w:rsid w:val="003122F2"/>
    <w:rsid w:val="00382415"/>
    <w:rsid w:val="00440C78"/>
    <w:rsid w:val="004B1DC4"/>
    <w:rsid w:val="004C47BF"/>
    <w:rsid w:val="004E1378"/>
    <w:rsid w:val="0050473F"/>
    <w:rsid w:val="005A3B22"/>
    <w:rsid w:val="005B42B5"/>
    <w:rsid w:val="00646E45"/>
    <w:rsid w:val="00647245"/>
    <w:rsid w:val="00660AD7"/>
    <w:rsid w:val="006F0453"/>
    <w:rsid w:val="00773630"/>
    <w:rsid w:val="00794A35"/>
    <w:rsid w:val="00820E25"/>
    <w:rsid w:val="0084414F"/>
    <w:rsid w:val="0089342D"/>
    <w:rsid w:val="008D49B7"/>
    <w:rsid w:val="008F5484"/>
    <w:rsid w:val="0096704C"/>
    <w:rsid w:val="009F4652"/>
    <w:rsid w:val="00A336D2"/>
    <w:rsid w:val="00A3511B"/>
    <w:rsid w:val="00B124B3"/>
    <w:rsid w:val="00B2708A"/>
    <w:rsid w:val="00B45530"/>
    <w:rsid w:val="00B82E73"/>
    <w:rsid w:val="00C028D8"/>
    <w:rsid w:val="00CB7FB3"/>
    <w:rsid w:val="00E95CAA"/>
    <w:rsid w:val="00EC6A5B"/>
    <w:rsid w:val="00FF0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F1A12-4A65-4310-882D-5811EC36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8D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2">
    <w:name w:val="Table Web 2"/>
    <w:basedOn w:val="TableNormal"/>
    <w:uiPriority w:val="99"/>
    <w:unhideWhenUsed/>
    <w:rsid w:val="00773630"/>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3122F2"/>
    <w:pPr>
      <w:tabs>
        <w:tab w:val="center" w:pos="4680"/>
        <w:tab w:val="right" w:pos="9360"/>
      </w:tabs>
      <w:spacing w:after="0" w:line="240" w:lineRule="auto"/>
    </w:pPr>
  </w:style>
  <w:style w:type="character" w:customStyle="1" w:styleId="HeaderChar">
    <w:name w:val="Header Char"/>
    <w:link w:val="Header"/>
    <w:uiPriority w:val="99"/>
    <w:rsid w:val="003122F2"/>
    <w:rPr>
      <w:sz w:val="22"/>
      <w:szCs w:val="22"/>
    </w:rPr>
  </w:style>
  <w:style w:type="paragraph" w:styleId="Footer">
    <w:name w:val="footer"/>
    <w:basedOn w:val="Normal"/>
    <w:link w:val="FooterChar"/>
    <w:uiPriority w:val="99"/>
    <w:unhideWhenUsed/>
    <w:rsid w:val="003122F2"/>
    <w:pPr>
      <w:tabs>
        <w:tab w:val="center" w:pos="4680"/>
        <w:tab w:val="right" w:pos="9360"/>
      </w:tabs>
      <w:spacing w:after="0" w:line="240" w:lineRule="auto"/>
    </w:pPr>
  </w:style>
  <w:style w:type="character" w:customStyle="1" w:styleId="FooterChar">
    <w:name w:val="Footer Char"/>
    <w:link w:val="Footer"/>
    <w:uiPriority w:val="99"/>
    <w:rsid w:val="003122F2"/>
    <w:rPr>
      <w:sz w:val="22"/>
      <w:szCs w:val="22"/>
    </w:rPr>
  </w:style>
  <w:style w:type="paragraph" w:styleId="BalloonText">
    <w:name w:val="Balloon Text"/>
    <w:basedOn w:val="Normal"/>
    <w:link w:val="BalloonTextChar"/>
    <w:uiPriority w:val="99"/>
    <w:semiHidden/>
    <w:unhideWhenUsed/>
    <w:rsid w:val="003122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22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7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cp:lastModifiedBy>C Zettler</cp:lastModifiedBy>
  <cp:revision>5</cp:revision>
  <dcterms:created xsi:type="dcterms:W3CDTF">2020-01-30T21:16:00Z</dcterms:created>
  <dcterms:modified xsi:type="dcterms:W3CDTF">2020-02-06T21:24:00Z</dcterms:modified>
</cp:coreProperties>
</file>